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12" w:rsidRPr="00CD1A45" w:rsidRDefault="00CA3812" w:rsidP="00CA3812">
      <w:pPr>
        <w:pStyle w:val="a3"/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Задание</w:t>
      </w:r>
    </w:p>
    <w:p w:rsidR="00CA3812" w:rsidRDefault="00CA3812" w:rsidP="00CA3812">
      <w:pPr>
        <w:jc w:val="center"/>
        <w:rPr>
          <w:b/>
          <w:sz w:val="24"/>
        </w:rPr>
      </w:pPr>
    </w:p>
    <w:p w:rsidR="00CA3812" w:rsidRPr="002F6B8A" w:rsidRDefault="00CA3812" w:rsidP="00CA3812">
      <w:pPr>
        <w:jc w:val="center"/>
        <w:rPr>
          <w:b/>
          <w:i/>
          <w:sz w:val="24"/>
        </w:rPr>
      </w:pPr>
      <w:r>
        <w:rPr>
          <w:b/>
          <w:sz w:val="24"/>
        </w:rPr>
        <w:t>Задание 1. Первичная обработка выборок</w:t>
      </w:r>
    </w:p>
    <w:p w:rsidR="00CA3812" w:rsidRDefault="00CA3812" w:rsidP="00CA3812">
      <w:pPr>
        <w:numPr>
          <w:ilvl w:val="1"/>
          <w:numId w:val="2"/>
        </w:numPr>
        <w:tabs>
          <w:tab w:val="clear" w:pos="900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По выборке </w:t>
      </w:r>
      <w:r>
        <w:rPr>
          <w:sz w:val="24"/>
          <w:lang w:val="en-US"/>
        </w:rPr>
        <w:t>A</w:t>
      </w:r>
      <w:r>
        <w:rPr>
          <w:sz w:val="24"/>
        </w:rPr>
        <w:t xml:space="preserve"> составить вариационный ряд, вычислить относительные частоты и накопленные частоты, построить полигон и гистограмму, составить эмпирическую функцию распределения и построить ее график, вычислить числовые характеристики вариационного ряда: выборочное среднее, дисперсию, стандартное отклонение.</w:t>
      </w:r>
    </w:p>
    <w:p w:rsidR="00CA3812" w:rsidRDefault="00CA3812" w:rsidP="00CA3812">
      <w:pPr>
        <w:numPr>
          <w:ilvl w:val="1"/>
          <w:numId w:val="2"/>
        </w:numPr>
        <w:tabs>
          <w:tab w:val="clear" w:pos="900"/>
        </w:tabs>
        <w:ind w:left="567" w:hanging="567"/>
        <w:jc w:val="both"/>
        <w:rPr>
          <w:sz w:val="24"/>
        </w:rPr>
      </w:pPr>
      <w:r>
        <w:rPr>
          <w:sz w:val="24"/>
        </w:rPr>
        <w:t>То же по выборке В.</w:t>
      </w:r>
    </w:p>
    <w:p w:rsidR="00CA3812" w:rsidRDefault="00CA3812" w:rsidP="00CA3812">
      <w:pPr>
        <w:ind w:left="540"/>
        <w:jc w:val="both"/>
        <w:rPr>
          <w:sz w:val="24"/>
        </w:rPr>
      </w:pPr>
    </w:p>
    <w:p w:rsidR="00CA3812" w:rsidRPr="00A95AC1" w:rsidRDefault="00CA3812" w:rsidP="00CA3812">
      <w:pPr>
        <w:jc w:val="center"/>
        <w:rPr>
          <w:b/>
          <w:sz w:val="24"/>
        </w:rPr>
      </w:pPr>
      <w:r>
        <w:rPr>
          <w:b/>
          <w:sz w:val="24"/>
        </w:rPr>
        <w:t>Задание 2. Точечное оценивание</w:t>
      </w:r>
    </w:p>
    <w:p w:rsidR="00CA3812" w:rsidRDefault="00CA3812" w:rsidP="00CA3812">
      <w:pPr>
        <w:ind w:left="567" w:hanging="567"/>
        <w:jc w:val="both"/>
        <w:rPr>
          <w:sz w:val="24"/>
        </w:rPr>
      </w:pPr>
      <w:r>
        <w:rPr>
          <w:sz w:val="24"/>
        </w:rPr>
        <w:t xml:space="preserve">2.1.   Пусть случайная величина имеет распределение Пуассона. Используя метод моментов и метод максимального правдоподобия получения точечных оценок, найти по выборке </w:t>
      </w:r>
      <w:r>
        <w:rPr>
          <w:sz w:val="24"/>
          <w:lang w:val="en-US"/>
        </w:rPr>
        <w:t>A</w:t>
      </w:r>
      <w:r>
        <w:rPr>
          <w:sz w:val="24"/>
        </w:rPr>
        <w:t xml:space="preserve"> значение оценки </w:t>
      </w:r>
      <w:r w:rsidRPr="00921D62">
        <w:rPr>
          <w:position w:val="-6"/>
          <w:sz w:val="24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6.8pt" o:ole="">
            <v:imagedata r:id="rId5" o:title=""/>
          </v:shape>
          <o:OLEObject Type="Embed" ProgID="Equation.3" ShapeID="_x0000_i1025" DrawAspect="Content" ObjectID="_1442383831" r:id="rId6"/>
        </w:object>
      </w:r>
      <w:r>
        <w:rPr>
          <w:sz w:val="24"/>
        </w:rPr>
        <w:t xml:space="preserve"> неизвестного параметра </w:t>
      </w:r>
      <w:r>
        <w:rPr>
          <w:position w:val="-6"/>
          <w:sz w:val="24"/>
        </w:rPr>
        <w:object w:dxaOrig="220" w:dyaOrig="279">
          <v:shape id="_x0000_i1026" type="#_x0000_t75" style="width:10.8pt;height:13.8pt" o:ole="" fillcolor="window">
            <v:imagedata r:id="rId7" o:title=""/>
          </v:shape>
          <o:OLEObject Type="Embed" ProgID="Equation.3" ShapeID="_x0000_i1026" DrawAspect="Content" ObjectID="_1442383832" r:id="rId8"/>
        </w:object>
      </w:r>
      <w:r>
        <w:rPr>
          <w:sz w:val="24"/>
        </w:rPr>
        <w:t>.</w:t>
      </w:r>
    </w:p>
    <w:p w:rsidR="00CA3812" w:rsidRDefault="00CA3812" w:rsidP="00CA3812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Пусть случайная величина имеет нормальное распределение. Используя метод моментов и метод максимального правдоподобия получения точечных оценок, найти по выборке </w:t>
      </w:r>
      <w:r>
        <w:rPr>
          <w:sz w:val="24"/>
          <w:lang w:val="en-US"/>
        </w:rPr>
        <w:t>B</w:t>
      </w:r>
      <w:r>
        <w:rPr>
          <w:sz w:val="24"/>
        </w:rPr>
        <w:t xml:space="preserve"> значение оценки </w:t>
      </w:r>
      <w:r>
        <w:rPr>
          <w:position w:val="-6"/>
          <w:sz w:val="24"/>
        </w:rPr>
        <w:object w:dxaOrig="220" w:dyaOrig="440">
          <v:shape id="_x0000_i1027" type="#_x0000_t75" style="width:10.8pt;height:22.2pt" o:ole="" fillcolor="window">
            <v:imagedata r:id="rId9" o:title=""/>
          </v:shape>
          <o:OLEObject Type="Embed" ProgID="Equation.3" ShapeID="_x0000_i1027" DrawAspect="Content" ObjectID="_1442383833" r:id="rId10"/>
        </w:object>
      </w:r>
      <w:r>
        <w:rPr>
          <w:sz w:val="24"/>
        </w:rPr>
        <w:t xml:space="preserve">, </w:t>
      </w:r>
      <w:r>
        <w:rPr>
          <w:position w:val="-6"/>
          <w:sz w:val="24"/>
        </w:rPr>
        <w:object w:dxaOrig="240" w:dyaOrig="440">
          <v:shape id="_x0000_i1028" type="#_x0000_t75" style="width:12pt;height:22.2pt" o:ole="" fillcolor="window">
            <v:imagedata r:id="rId11" o:title=""/>
          </v:shape>
          <o:OLEObject Type="Embed" ProgID="Equation.3" ShapeID="_x0000_i1028" DrawAspect="Content" ObjectID="_1442383834" r:id="rId12"/>
        </w:object>
      </w:r>
      <w:r>
        <w:rPr>
          <w:sz w:val="24"/>
        </w:rPr>
        <w:t xml:space="preserve"> неизвестных параметров </w:t>
      </w:r>
      <w:r>
        <w:rPr>
          <w:position w:val="-6"/>
          <w:sz w:val="24"/>
        </w:rPr>
        <w:object w:dxaOrig="220" w:dyaOrig="220">
          <v:shape id="_x0000_i1029" type="#_x0000_t75" style="width:10.8pt;height:10.8pt" o:ole="" fillcolor="window">
            <v:imagedata r:id="rId13" o:title=""/>
          </v:shape>
          <o:OLEObject Type="Embed" ProgID="Equation.3" ShapeID="_x0000_i1029" DrawAspect="Content" ObjectID="_1442383835" r:id="rId14"/>
        </w:object>
      </w:r>
      <w:r>
        <w:rPr>
          <w:sz w:val="24"/>
        </w:rPr>
        <w:t>,</w:t>
      </w:r>
      <w:r>
        <w:rPr>
          <w:position w:val="-6"/>
          <w:sz w:val="24"/>
        </w:rPr>
        <w:object w:dxaOrig="240" w:dyaOrig="220">
          <v:shape id="_x0000_i1030" type="#_x0000_t75" style="width:12pt;height:10.8pt" o:ole="" fillcolor="window">
            <v:imagedata r:id="rId15" o:title=""/>
          </v:shape>
          <o:OLEObject Type="Embed" ProgID="Equation.3" ShapeID="_x0000_i1030" DrawAspect="Content" ObjectID="_1442383836" r:id="rId16"/>
        </w:object>
      </w:r>
      <w:r>
        <w:rPr>
          <w:sz w:val="24"/>
        </w:rPr>
        <w:t>.</w:t>
      </w:r>
    </w:p>
    <w:p w:rsidR="00CA3812" w:rsidRDefault="00CA3812" w:rsidP="00CA3812">
      <w:pPr>
        <w:tabs>
          <w:tab w:val="num" w:pos="1260"/>
        </w:tabs>
        <w:ind w:left="1260" w:hanging="720"/>
        <w:rPr>
          <w:sz w:val="24"/>
        </w:rPr>
      </w:pPr>
    </w:p>
    <w:p w:rsidR="00CA3812" w:rsidRPr="00A95AC1" w:rsidRDefault="00CA3812" w:rsidP="00CA3812">
      <w:pPr>
        <w:jc w:val="center"/>
        <w:rPr>
          <w:b/>
          <w:sz w:val="24"/>
        </w:rPr>
      </w:pPr>
      <w:r>
        <w:rPr>
          <w:b/>
          <w:sz w:val="24"/>
        </w:rPr>
        <w:t>Задание 3. Интервальное оценивание</w:t>
      </w:r>
    </w:p>
    <w:p w:rsidR="00CA3812" w:rsidRDefault="00CA3812" w:rsidP="00CA3812">
      <w:pPr>
        <w:ind w:left="567" w:hanging="567"/>
        <w:jc w:val="both"/>
        <w:rPr>
          <w:sz w:val="24"/>
        </w:rPr>
      </w:pPr>
      <w:r>
        <w:rPr>
          <w:sz w:val="24"/>
        </w:rPr>
        <w:t xml:space="preserve">3.1. Пусть генеральная совокупность имеет нормальное распределение. Найти доверительный интервалы для среднего значения </w:t>
      </w:r>
      <w:r>
        <w:rPr>
          <w:position w:val="-6"/>
          <w:sz w:val="24"/>
        </w:rPr>
        <w:object w:dxaOrig="220" w:dyaOrig="220">
          <v:shape id="_x0000_i1031" type="#_x0000_t75" style="width:10.8pt;height:10.8pt" o:ole="" fillcolor="window">
            <v:imagedata r:id="rId13" o:title=""/>
          </v:shape>
          <o:OLEObject Type="Embed" ProgID="Equation.3" ShapeID="_x0000_i1031" DrawAspect="Content" ObjectID="_1442383837" r:id="rId17"/>
        </w:object>
      </w:r>
      <w:r>
        <w:rPr>
          <w:sz w:val="24"/>
        </w:rPr>
        <w:t xml:space="preserve">, дисперсии </w:t>
      </w:r>
      <w:r>
        <w:rPr>
          <w:position w:val="-6"/>
          <w:sz w:val="24"/>
        </w:rPr>
        <w:object w:dxaOrig="340" w:dyaOrig="320">
          <v:shape id="_x0000_i1032" type="#_x0000_t75" style="width:16.8pt;height:16.2pt" o:ole="" fillcolor="window">
            <v:imagedata r:id="rId18" o:title=""/>
          </v:shape>
          <o:OLEObject Type="Embed" ProgID="Equation.3" ShapeID="_x0000_i1032" DrawAspect="Content" ObjectID="_1442383838" r:id="rId19"/>
        </w:object>
      </w:r>
      <w:r>
        <w:rPr>
          <w:sz w:val="24"/>
        </w:rPr>
        <w:t xml:space="preserve">и среднеквадратичного отклонения </w:t>
      </w:r>
      <w:r>
        <w:rPr>
          <w:position w:val="-6"/>
          <w:sz w:val="24"/>
        </w:rPr>
        <w:object w:dxaOrig="240" w:dyaOrig="220">
          <v:shape id="_x0000_i1033" type="#_x0000_t75" style="width:12pt;height:10.8pt" o:ole="" fillcolor="window">
            <v:imagedata r:id="rId15" o:title=""/>
          </v:shape>
          <o:OLEObject Type="Embed" ProgID="Equation.3" ShapeID="_x0000_i1033" DrawAspect="Content" ObjectID="_1442383839" r:id="rId20"/>
        </w:object>
      </w:r>
      <w:r>
        <w:rPr>
          <w:sz w:val="24"/>
        </w:rPr>
        <w:t xml:space="preserve"> генеральной совокупности при доверительной вероятности </w:t>
      </w:r>
      <w:r>
        <w:rPr>
          <w:position w:val="-12"/>
          <w:sz w:val="24"/>
        </w:rPr>
        <w:object w:dxaOrig="999" w:dyaOrig="360">
          <v:shape id="_x0000_i1034" type="#_x0000_t75" style="width:49.8pt;height:18pt" o:ole="" fillcolor="window">
            <v:imagedata r:id="rId21" o:title=""/>
          </v:shape>
          <o:OLEObject Type="Embed" ProgID="Equation.3" ShapeID="_x0000_i1034" DrawAspect="Content" ObjectID="_1442383840" r:id="rId22"/>
        </w:object>
      </w:r>
      <w:r>
        <w:rPr>
          <w:sz w:val="24"/>
        </w:rPr>
        <w:t xml:space="preserve">, если из генеральной совокупности сделана выборка </w:t>
      </w:r>
      <w:r>
        <w:rPr>
          <w:sz w:val="24"/>
          <w:lang w:val="en-US"/>
        </w:rPr>
        <w:t>B</w:t>
      </w:r>
      <w:r>
        <w:rPr>
          <w:sz w:val="24"/>
        </w:rPr>
        <w:t>.</w:t>
      </w:r>
    </w:p>
    <w:p w:rsidR="00CA3812" w:rsidRDefault="00CA3812" w:rsidP="00CA3812">
      <w:pPr>
        <w:ind w:left="540"/>
        <w:jc w:val="both"/>
        <w:rPr>
          <w:sz w:val="24"/>
        </w:rPr>
      </w:pPr>
    </w:p>
    <w:p w:rsidR="00CA3812" w:rsidRDefault="00CA3812" w:rsidP="00CA3812">
      <w:pPr>
        <w:jc w:val="center"/>
        <w:rPr>
          <w:b/>
          <w:sz w:val="24"/>
        </w:rPr>
      </w:pPr>
      <w:r>
        <w:rPr>
          <w:b/>
          <w:sz w:val="24"/>
        </w:rPr>
        <w:t>Задание 4. Статистическая проверка гипотез</w:t>
      </w:r>
    </w:p>
    <w:p w:rsidR="00CA3812" w:rsidRDefault="00CA3812" w:rsidP="00CA3812">
      <w:pPr>
        <w:numPr>
          <w:ilvl w:val="1"/>
          <w:numId w:val="1"/>
        </w:numPr>
        <w:tabs>
          <w:tab w:val="num" w:pos="567"/>
        </w:tabs>
        <w:ind w:left="567" w:hanging="567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По </w:t>
      </w:r>
      <w:r>
        <w:rPr>
          <w:sz w:val="24"/>
        </w:rPr>
        <w:t>выборке</w:t>
      </w:r>
      <w:r>
        <w:rPr>
          <w:rFonts w:eastAsia="MS Mincho"/>
          <w:sz w:val="24"/>
        </w:rPr>
        <w:t xml:space="preserve"> А при уровне значимости </w:t>
      </w:r>
      <w:r>
        <w:rPr>
          <w:rFonts w:eastAsia="MS Mincho"/>
          <w:position w:val="-8"/>
          <w:sz w:val="24"/>
        </w:rPr>
        <w:object w:dxaOrig="1020" w:dyaOrig="320">
          <v:shape id="_x0000_i1035" type="#_x0000_t75" style="width:51pt;height:16.2pt" o:ole="" fillcolor="window">
            <v:imagedata r:id="rId23" o:title=""/>
          </v:shape>
          <o:OLEObject Type="Embed" ProgID="Equation.3" ShapeID="_x0000_i1035" DrawAspect="Content" ObjectID="_1442383841" r:id="rId24"/>
        </w:object>
      </w:r>
      <w:r>
        <w:rPr>
          <w:rFonts w:eastAsia="MS Mincho"/>
          <w:sz w:val="24"/>
        </w:rPr>
        <w:t xml:space="preserve"> проверить гипотезу о распределении Пуассона соответствующей генеральной совокупности.</w:t>
      </w:r>
    </w:p>
    <w:p w:rsidR="00CA3812" w:rsidRDefault="00CA3812" w:rsidP="00CA3812">
      <w:pPr>
        <w:numPr>
          <w:ilvl w:val="1"/>
          <w:numId w:val="1"/>
        </w:numPr>
        <w:tabs>
          <w:tab w:val="num" w:pos="567"/>
        </w:tabs>
        <w:ind w:left="567" w:hanging="567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По </w:t>
      </w:r>
      <w:r>
        <w:rPr>
          <w:sz w:val="24"/>
        </w:rPr>
        <w:t>выборке</w:t>
      </w:r>
      <w:r>
        <w:rPr>
          <w:rFonts w:eastAsia="MS Mincho"/>
          <w:sz w:val="24"/>
        </w:rPr>
        <w:t xml:space="preserve"> В при уровне значимости </w:t>
      </w:r>
      <w:r>
        <w:rPr>
          <w:rFonts w:eastAsia="MS Mincho"/>
          <w:position w:val="-8"/>
          <w:sz w:val="24"/>
        </w:rPr>
        <w:object w:dxaOrig="859" w:dyaOrig="320">
          <v:shape id="_x0000_i1036" type="#_x0000_t75" style="width:43.2pt;height:16.2pt" o:ole="" fillcolor="window">
            <v:imagedata r:id="rId25" o:title=""/>
          </v:shape>
          <o:OLEObject Type="Embed" ProgID="Equation.3" ShapeID="_x0000_i1036" DrawAspect="Content" ObjectID="_1442383842" r:id="rId26"/>
        </w:object>
      </w:r>
      <w:r>
        <w:rPr>
          <w:rFonts w:eastAsia="MS Mincho"/>
          <w:sz w:val="24"/>
        </w:rPr>
        <w:t xml:space="preserve"> проверить гипотезу о нормальном распределении соответствующей генеральной совокупности.</w:t>
      </w:r>
    </w:p>
    <w:p w:rsidR="00504605" w:rsidRDefault="00504605"/>
    <w:p w:rsidR="00CA3812" w:rsidRDefault="00CA3812" w:rsidP="00CA3812">
      <w:pPr>
        <w:pStyle w:val="a5"/>
        <w:jc w:val="center"/>
        <w:rPr>
          <w:rFonts w:eastAsia="MS Mincho"/>
          <w:b/>
        </w:rPr>
      </w:pPr>
    </w:p>
    <w:p w:rsidR="00CA3812" w:rsidRDefault="00CA3812" w:rsidP="00CA3812">
      <w:pPr>
        <w:pStyle w:val="a5"/>
        <w:jc w:val="center"/>
        <w:rPr>
          <w:rFonts w:eastAsia="MS Mincho"/>
          <w:b/>
        </w:rPr>
      </w:pPr>
    </w:p>
    <w:p w:rsidR="00CA3812" w:rsidRDefault="00CA3812" w:rsidP="00CA3812">
      <w:pPr>
        <w:pStyle w:val="a5"/>
        <w:jc w:val="center"/>
        <w:rPr>
          <w:rFonts w:eastAsia="MS Mincho"/>
          <w:b/>
        </w:rPr>
      </w:pPr>
      <w:r>
        <w:rPr>
          <w:rFonts w:eastAsia="MS Mincho"/>
          <w:b/>
        </w:rPr>
        <w:t>ВАРИАНТ 9</w:t>
      </w:r>
    </w:p>
    <w:p w:rsidR="00CA3812" w:rsidRDefault="00CA3812" w:rsidP="00CA3812">
      <w:pPr>
        <w:pStyle w:val="a5"/>
        <w:rPr>
          <w:rFonts w:eastAsia="MS Mincho"/>
        </w:rPr>
      </w:pPr>
      <w:r>
        <w:rPr>
          <w:rFonts w:eastAsia="MS Mincho"/>
        </w:rPr>
        <w:t>Выборка А9 (n=79)</w:t>
      </w:r>
    </w:p>
    <w:p w:rsidR="00CA3812" w:rsidRDefault="00CA3812" w:rsidP="00CA3812">
      <w:pPr>
        <w:pStyle w:val="a5"/>
      </w:pPr>
    </w:p>
    <w:p w:rsidR="00CA3812" w:rsidRDefault="00CA3812" w:rsidP="00CA3812">
      <w:pPr>
        <w:pStyle w:val="a5"/>
        <w:rPr>
          <w:rFonts w:eastAsia="MS Mincho"/>
        </w:rPr>
      </w:pPr>
      <w:r>
        <w:rPr>
          <w:rFonts w:eastAsia="MS Mincho"/>
        </w:rPr>
        <w:t>Выборка B9 (n=217)</w:t>
      </w:r>
    </w:p>
    <w:p w:rsidR="00CA3812" w:rsidRDefault="00CA3812"/>
    <w:p w:rsidR="00CA3812" w:rsidRDefault="00CA3812"/>
    <w:tbl>
      <w:tblPr>
        <w:tblpPr w:leftFromText="180" w:rightFromText="180" w:vertAnchor="text" w:horzAnchor="margin" w:tblpXSpec="center" w:tblpY="-22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1722"/>
        <w:gridCol w:w="1722"/>
        <w:gridCol w:w="1722"/>
        <w:gridCol w:w="1722"/>
        <w:gridCol w:w="1722"/>
      </w:tblGrid>
      <w:tr w:rsidR="00CA3812" w:rsidTr="00CA381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22" w:type="dxa"/>
            <w:vAlign w:val="center"/>
          </w:tcPr>
          <w:p w:rsidR="00CA3812" w:rsidRPr="00EF0750" w:rsidRDefault="00CA3812" w:rsidP="00CA3812">
            <w:pPr>
              <w:pStyle w:val="a5"/>
              <w:jc w:val="center"/>
            </w:pPr>
            <w:r>
              <w:rPr>
                <w:rFonts w:eastAsia="MS Mincho"/>
                <w:lang w:val="en-US"/>
              </w:rPr>
              <w:t>x</w:t>
            </w:r>
          </w:p>
        </w:tc>
        <w:tc>
          <w:tcPr>
            <w:tcW w:w="1722" w:type="dxa"/>
            <w:vAlign w:val="center"/>
          </w:tcPr>
          <w:p w:rsidR="00CA3812" w:rsidRDefault="00CA3812" w:rsidP="00CA3812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22" w:type="dxa"/>
            <w:vAlign w:val="center"/>
          </w:tcPr>
          <w:p w:rsidR="00CA3812" w:rsidRDefault="00CA3812" w:rsidP="00CA3812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22" w:type="dxa"/>
            <w:vAlign w:val="center"/>
          </w:tcPr>
          <w:p w:rsidR="00CA3812" w:rsidRDefault="00CA3812" w:rsidP="00CA3812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722" w:type="dxa"/>
            <w:vAlign w:val="center"/>
          </w:tcPr>
          <w:p w:rsidR="00CA3812" w:rsidRDefault="00CA3812" w:rsidP="00CA3812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722" w:type="dxa"/>
            <w:vAlign w:val="center"/>
          </w:tcPr>
          <w:p w:rsidR="00CA3812" w:rsidRDefault="00CA3812" w:rsidP="00CA3812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CA3812" w:rsidTr="00CA381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722" w:type="dxa"/>
            <w:vAlign w:val="center"/>
          </w:tcPr>
          <w:p w:rsidR="00CA3812" w:rsidRDefault="00CA3812" w:rsidP="00CA3812">
            <w:pPr>
              <w:pStyle w:val="a5"/>
              <w:jc w:val="center"/>
            </w:pPr>
            <w:r>
              <w:rPr>
                <w:rFonts w:eastAsia="MS Mincho"/>
                <w:lang w:val="en-US"/>
              </w:rPr>
              <w:t>k</w:t>
            </w:r>
          </w:p>
        </w:tc>
        <w:tc>
          <w:tcPr>
            <w:tcW w:w="1722" w:type="dxa"/>
            <w:vAlign w:val="center"/>
          </w:tcPr>
          <w:p w:rsidR="00CA3812" w:rsidRDefault="00CA3812" w:rsidP="00CA3812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  <w:tc>
          <w:tcPr>
            <w:tcW w:w="1722" w:type="dxa"/>
            <w:vAlign w:val="center"/>
          </w:tcPr>
          <w:p w:rsidR="00CA3812" w:rsidRDefault="00CA3812" w:rsidP="00CA3812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1722" w:type="dxa"/>
            <w:vAlign w:val="center"/>
          </w:tcPr>
          <w:p w:rsidR="00CA3812" w:rsidRDefault="00CA3812" w:rsidP="00CA3812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</w:p>
        </w:tc>
        <w:tc>
          <w:tcPr>
            <w:tcW w:w="1722" w:type="dxa"/>
            <w:vAlign w:val="center"/>
          </w:tcPr>
          <w:p w:rsidR="00CA3812" w:rsidRDefault="00CA3812" w:rsidP="00CA3812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</w:p>
        </w:tc>
        <w:tc>
          <w:tcPr>
            <w:tcW w:w="1722" w:type="dxa"/>
            <w:vAlign w:val="center"/>
          </w:tcPr>
          <w:p w:rsidR="00CA3812" w:rsidRDefault="00CA3812" w:rsidP="00CA3812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</w:tr>
    </w:tbl>
    <w:tbl>
      <w:tblPr>
        <w:tblW w:w="10342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 w:rsidR="00CA3812" w:rsidTr="00CA38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vAlign w:val="center"/>
          </w:tcPr>
          <w:p w:rsidR="00CA3812" w:rsidRPr="00EF0750" w:rsidRDefault="00CA3812" w:rsidP="00CC5769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x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(26;31]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(31;36]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(36;41]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(41;46]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(46;51]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(51;56]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(56;61]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(61;66]</w:t>
            </w:r>
          </w:p>
        </w:tc>
      </w:tr>
      <w:tr w:rsidR="00CA3812" w:rsidTr="00CA381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78" w:type="dxa"/>
            <w:tcBorders>
              <w:bottom w:val="single" w:sz="18" w:space="0" w:color="auto"/>
            </w:tcBorders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k</w:t>
            </w:r>
          </w:p>
        </w:tc>
        <w:tc>
          <w:tcPr>
            <w:tcW w:w="1233" w:type="dxa"/>
            <w:tcBorders>
              <w:bottom w:val="single" w:sz="18" w:space="0" w:color="auto"/>
            </w:tcBorders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</w:t>
            </w:r>
          </w:p>
        </w:tc>
        <w:tc>
          <w:tcPr>
            <w:tcW w:w="1233" w:type="dxa"/>
            <w:tcBorders>
              <w:bottom w:val="single" w:sz="18" w:space="0" w:color="auto"/>
            </w:tcBorders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</w:t>
            </w:r>
          </w:p>
        </w:tc>
        <w:tc>
          <w:tcPr>
            <w:tcW w:w="1233" w:type="dxa"/>
            <w:tcBorders>
              <w:bottom w:val="single" w:sz="18" w:space="0" w:color="auto"/>
            </w:tcBorders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</w:t>
            </w:r>
          </w:p>
        </w:tc>
        <w:tc>
          <w:tcPr>
            <w:tcW w:w="1233" w:type="dxa"/>
            <w:tcBorders>
              <w:bottom w:val="single" w:sz="18" w:space="0" w:color="auto"/>
            </w:tcBorders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7</w:t>
            </w:r>
          </w:p>
        </w:tc>
        <w:tc>
          <w:tcPr>
            <w:tcW w:w="1233" w:type="dxa"/>
            <w:tcBorders>
              <w:bottom w:val="single" w:sz="18" w:space="0" w:color="auto"/>
            </w:tcBorders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14</w:t>
            </w:r>
          </w:p>
        </w:tc>
        <w:tc>
          <w:tcPr>
            <w:tcW w:w="1233" w:type="dxa"/>
            <w:tcBorders>
              <w:bottom w:val="single" w:sz="18" w:space="0" w:color="auto"/>
            </w:tcBorders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19</w:t>
            </w:r>
          </w:p>
        </w:tc>
        <w:tc>
          <w:tcPr>
            <w:tcW w:w="1233" w:type="dxa"/>
            <w:tcBorders>
              <w:bottom w:val="single" w:sz="18" w:space="0" w:color="auto"/>
            </w:tcBorders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27</w:t>
            </w:r>
          </w:p>
        </w:tc>
        <w:tc>
          <w:tcPr>
            <w:tcW w:w="1233" w:type="dxa"/>
            <w:tcBorders>
              <w:bottom w:val="single" w:sz="18" w:space="0" w:color="auto"/>
            </w:tcBorders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41</w:t>
            </w:r>
          </w:p>
        </w:tc>
      </w:tr>
      <w:tr w:rsidR="00CA3812" w:rsidTr="00CA381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78" w:type="dxa"/>
            <w:vAlign w:val="center"/>
          </w:tcPr>
          <w:p w:rsidR="00CA3812" w:rsidRPr="00EF0750" w:rsidRDefault="00CA3812" w:rsidP="00CC5769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x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(66;71]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(71;76]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(76;81]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(81;86]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(86;91]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(91;96]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(96;101]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</w:rPr>
            </w:pPr>
          </w:p>
        </w:tc>
      </w:tr>
      <w:tr w:rsidR="00CA3812" w:rsidTr="00CA3812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78" w:type="dxa"/>
            <w:vAlign w:val="center"/>
          </w:tcPr>
          <w:p w:rsidR="00CA3812" w:rsidRDefault="00CA3812" w:rsidP="00CC5769">
            <w:pPr>
              <w:pStyle w:val="a5"/>
              <w:jc w:val="center"/>
            </w:pPr>
            <w:r>
              <w:rPr>
                <w:rFonts w:eastAsia="MS Mincho"/>
                <w:lang w:val="en-US"/>
              </w:rPr>
              <w:t>k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233" w:type="dxa"/>
            <w:vAlign w:val="center"/>
          </w:tcPr>
          <w:p w:rsidR="00CA3812" w:rsidRDefault="00CA3812" w:rsidP="00CC5769">
            <w:pPr>
              <w:pStyle w:val="a5"/>
              <w:jc w:val="center"/>
              <w:rPr>
                <w:rFonts w:eastAsia="MS Mincho"/>
              </w:rPr>
            </w:pPr>
          </w:p>
        </w:tc>
      </w:tr>
    </w:tbl>
    <w:p w:rsidR="00CA3812" w:rsidRDefault="00CA3812"/>
    <w:sectPr w:rsidR="00CA3812" w:rsidSect="0050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1F46"/>
    <w:multiLevelType w:val="multilevel"/>
    <w:tmpl w:val="73AE5F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7135CD5"/>
    <w:multiLevelType w:val="multilevel"/>
    <w:tmpl w:val="5AB2EC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FB17F7D"/>
    <w:multiLevelType w:val="multilevel"/>
    <w:tmpl w:val="494AE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3812"/>
    <w:rsid w:val="000C5DFB"/>
    <w:rsid w:val="004E18E1"/>
    <w:rsid w:val="00504605"/>
    <w:rsid w:val="00CA3812"/>
    <w:rsid w:val="00F52A29"/>
    <w:rsid w:val="00FC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12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3812"/>
    <w:pPr>
      <w:widowControl w:val="0"/>
      <w:jc w:val="both"/>
    </w:pPr>
    <w:rPr>
      <w:rFonts w:ascii="Courier New" w:hAnsi="Courier New"/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CA3812"/>
    <w:rPr>
      <w:rFonts w:ascii="Courier New" w:hAnsi="Courier New" w:cs="Times New Roman"/>
      <w:snapToGrid w:val="0"/>
      <w:sz w:val="24"/>
      <w:szCs w:val="20"/>
      <w:lang w:eastAsia="ru-RU"/>
    </w:rPr>
  </w:style>
  <w:style w:type="paragraph" w:styleId="a5">
    <w:name w:val="Plain Text"/>
    <w:basedOn w:val="a"/>
    <w:link w:val="a6"/>
    <w:rsid w:val="00CA3812"/>
    <w:rPr>
      <w:rFonts w:ascii="Courier New" w:hAnsi="Courier New" w:cs="Courier New"/>
      <w:sz w:val="20"/>
    </w:rPr>
  </w:style>
  <w:style w:type="character" w:customStyle="1" w:styleId="a6">
    <w:name w:val="Текст Знак"/>
    <w:basedOn w:val="a0"/>
    <w:link w:val="a5"/>
    <w:rsid w:val="00CA3812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E1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2013-10-04T05:23:00Z</dcterms:created>
  <dcterms:modified xsi:type="dcterms:W3CDTF">2013-10-04T05:24:00Z</dcterms:modified>
</cp:coreProperties>
</file>