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4"/>
      </w:tblGrid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1. Какие из следующих утверждений являются верными: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I. В моделях олигополии Курно, Бертрана и Хотеллинга фирмы принимают решение одновременно.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II. В отличии от моделей дуополии Курно и Хотеллинга, в модели Бертрана стратегией фирмы является устанавливаемая на ее продукцию цена, а не количество произведенного товара.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III. В модели дуополии Бертрана чистая прибыль фирмы в отсутствии картельного сговора при линейных издержках производства равна нулю.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9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68" type="#_x0000_t75" style="width:16.6pt;height:13.85pt" o:ole="">
                        <v:imagedata r:id="rId4" o:title=""/>
                      </v:shape>
                      <w:control r:id="rId5" w:name="DefaultOcxName" w:shapeid="_x0000_i1168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I и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7" type="#_x0000_t75" style="width:16.6pt;height:13.85pt" o:ole="">
                        <v:imagedata r:id="rId4" o:title=""/>
                      </v:shape>
                      <w:control r:id="rId6" w:name="DefaultOcxName1" w:shapeid="_x0000_i1167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I и III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6" type="#_x0000_t75" style="width:16.6pt;height:13.85pt" o:ole="">
                        <v:imagedata r:id="rId4" o:title=""/>
                      </v:shape>
                      <w:control r:id="rId7" w:name="DefaultOcxName2" w:shapeid="_x0000_i1166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Только 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5" type="#_x0000_t75" style="width:16.6pt;height:13.85pt" o:ole="">
                        <v:imagedata r:id="rId4" o:title=""/>
                      </v:shape>
                      <w:control r:id="rId8" w:name="DefaultOcxName3" w:shapeid="_x0000_i1165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Только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4" type="#_x0000_t75" style="width:16.6pt;height:13.85pt" o:ole="">
                        <v:imagedata r:id="rId4" o:title=""/>
                      </v:shape>
                      <w:control r:id="rId9" w:name="DefaultOcxName4" w:shapeid="_x0000_i1164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Только III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2. Пусть в модели дуополии Бертрана совокупный спрос на рынке определяется из соотношения Q=100-4P, где P – стоимость единицы товара. Предположим, издержки на производство единицы товара равны 10.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1. Какая цена установится на рынке?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73" type="#_x0000_t75" style="width:16.6pt;height:13.85pt" o:ole="">
                        <v:imagedata r:id="rId10" o:title=""/>
                      </v:shape>
                      <w:control r:id="rId11" w:name="DefaultOcxName5" w:shapeid="_x0000_i1173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2" type="#_x0000_t75" style="width:16.6pt;height:13.85pt" o:ole="">
                        <v:imagedata r:id="rId4" o:title=""/>
                      </v:shape>
                      <w:control r:id="rId12" w:name="DefaultOcxName6" w:shapeid="_x0000_i116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5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70" type="#_x0000_t75" style="width:16.6pt;height:13.85pt" o:ole="">
                        <v:imagedata r:id="rId4" o:title=""/>
                      </v:shape>
                      <w:control r:id="rId13" w:name="DefaultOcxName7" w:shapeid="_x0000_i1170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10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60" type="#_x0000_t75" style="width:16.6pt;height:13.85pt" o:ole="">
                        <v:imagedata r:id="rId4" o:title=""/>
                      </v:shape>
                      <w:control r:id="rId14" w:name="DefaultOcxName8" w:shapeid="_x0000_i1160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15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72" type="#_x0000_t75" style="width:16.6pt;height:13.85pt" o:ole="">
                        <v:imagedata r:id="rId4" o:title=""/>
                      </v:shape>
                      <w:control r:id="rId15" w:name="DefaultOcxName9" w:shapeid="_x0000_i117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25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2. Пусть в случае одинаковой цены, фирмы продают одинаковое количество единиц продукции. Каков равновесный объем производства для каждой из фирм?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8" type="#_x0000_t75" style="width:16.6pt;height:13.85pt" o:ole="">
                        <v:imagedata r:id="rId4" o:title=""/>
                      </v:shape>
                      <w:control r:id="rId16" w:name="DefaultOcxName10" w:shapeid="_x0000_i1158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10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7" type="#_x0000_t75" style="width:16.6pt;height:13.85pt" o:ole="">
                        <v:imagedata r:id="rId4" o:title=""/>
                      </v:shape>
                      <w:control r:id="rId17" w:name="DefaultOcxName11" w:shapeid="_x0000_i1157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20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6" type="#_x0000_t75" style="width:16.6pt;height:13.85pt" o:ole="">
                        <v:imagedata r:id="rId4" o:title=""/>
                      </v:shape>
                      <w:control r:id="rId18" w:name="DefaultOcxName12" w:shapeid="_x0000_i1156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30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5" type="#_x0000_t75" style="width:16.6pt;height:13.85pt" o:ole="">
                        <v:imagedata r:id="rId4" o:title=""/>
                      </v:shape>
                      <w:control r:id="rId19" w:name="DefaultOcxName13" w:shapeid="_x0000_i1155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40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4" type="#_x0000_t75" style="width:16.6pt;height:13.85pt" o:ole="">
                        <v:imagedata r:id="rId4" o:title=""/>
                      </v:shape>
                      <w:control r:id="rId20" w:name="DefaultOcxName14" w:shapeid="_x0000_i1154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50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3. Предположим, фирмам удалось договориться о следующих условиях: они производят одинаковое количество продукции и устанавливают одинаковую, заранее оговоренную цену. Какое количество продукции будет произведено каждой из фирм в этом случае?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4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3" type="#_x0000_t75" style="width:16.6pt;height:13.85pt" o:ole="">
                        <v:imagedata r:id="rId4" o:title=""/>
                      </v:shape>
                      <w:control r:id="rId21" w:name="DefaultOcxName15" w:shapeid="_x0000_i1153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5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2" type="#_x0000_t75" style="width:16.6pt;height:13.85pt" o:ole="">
                        <v:imagedata r:id="rId4" o:title=""/>
                      </v:shape>
                      <w:control r:id="rId22" w:name="DefaultOcxName16" w:shapeid="_x0000_i115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10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1" type="#_x0000_t75" style="width:16.6pt;height:13.85pt" o:ole="">
                        <v:imagedata r:id="rId4" o:title=""/>
                      </v:shape>
                      <w:control r:id="rId23" w:name="DefaultOcxName17" w:shapeid="_x0000_i1151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15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50" type="#_x0000_t75" style="width:16.6pt;height:13.85pt" o:ole="">
                        <v:imagedata r:id="rId4" o:title=""/>
                      </v:shape>
                      <w:control r:id="rId24" w:name="DefaultOcxName18" w:shapeid="_x0000_i1150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20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9" type="#_x0000_t75" style="width:16.6pt;height:13.85pt" o:ole="">
                        <v:imagedata r:id="rId4" o:title=""/>
                      </v:shape>
                      <w:control r:id="rId25" w:name="DefaultOcxName19" w:shapeid="_x0000_i1149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25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4. Какие из следующих утверждений являются верными?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I. Несмотря на то, что в результате картельного сговора фирмы получают положительную прибыль, картельный сговор, описанный в пункте 3, будет неустойчивым в конечно-повторяющейся игре.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II. При условии отсутствия картеля, в моделях дуополии Бертрана и Курно фирмы получают одинаковую прибыль.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III. Фирмы могут получить положительную прибыль в модели дуополии Бертрана уменьшив цену товара даже в случае отсутствия картельного сговора.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9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8" type="#_x0000_t75" style="width:16.6pt;height:13.85pt" o:ole="">
                        <v:imagedata r:id="rId4" o:title=""/>
                      </v:shape>
                      <w:control r:id="rId26" w:name="DefaultOcxName20" w:shapeid="_x0000_i1148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I и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7" type="#_x0000_t75" style="width:16.6pt;height:13.85pt" o:ole="">
                        <v:imagedata r:id="rId4" o:title=""/>
                      </v:shape>
                      <w:control r:id="rId27" w:name="DefaultOcxName21" w:shapeid="_x0000_i1147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I и III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6" type="#_x0000_t75" style="width:16.6pt;height:13.85pt" o:ole="">
                        <v:imagedata r:id="rId4" o:title=""/>
                      </v:shape>
                      <w:control r:id="rId28" w:name="DefaultOcxName22" w:shapeid="_x0000_i1146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Только 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5" type="#_x0000_t75" style="width:16.6pt;height:13.85pt" o:ole="">
                        <v:imagedata r:id="rId4" o:title=""/>
                      </v:shape>
                      <w:control r:id="rId29" w:name="DefaultOcxName23" w:shapeid="_x0000_i1145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Только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4" type="#_x0000_t75" style="width:16.6pt;height:13.85pt" o:ole="">
                        <v:imagedata r:id="rId4" o:title=""/>
                      </v:shape>
                      <w:control r:id="rId30" w:name="DefaultOcxName24" w:shapeid="_x0000_i1144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Только III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3. Какие из следующих утверждений являются верными: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lastRenderedPageBreak/>
              <w:t>I. Теория игр позволяет моделировать ситуации олигополистической конкуренции двух и более фирм.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II. Более сильная дифференциация продуктовой линейки – это возможность извлечения дополнительной прибыли в условиях олигополистической конкуренции.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III. В модели дуополии Бертрана действия фирм являются стратегическими комплементами: выбор каждой из фирм растет с ростом выбора конкурента.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9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240" w:dyaOrig="240">
                      <v:shape id="_x0000_i1143" type="#_x0000_t75" style="width:16.6pt;height:13.85pt" o:ole="">
                        <v:imagedata r:id="rId4" o:title=""/>
                      </v:shape>
                      <w:control r:id="rId31" w:name="DefaultOcxName25" w:shapeid="_x0000_i1143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I и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2" type="#_x0000_t75" style="width:16.6pt;height:13.85pt" o:ole="">
                        <v:imagedata r:id="rId4" o:title=""/>
                      </v:shape>
                      <w:control r:id="rId32" w:name="DefaultOcxName26" w:shapeid="_x0000_i114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I и III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1" type="#_x0000_t75" style="width:16.6pt;height:13.85pt" o:ole="">
                        <v:imagedata r:id="rId4" o:title=""/>
                      </v:shape>
                      <w:control r:id="rId33" w:name="DefaultOcxName27" w:shapeid="_x0000_i1141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Только 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40" type="#_x0000_t75" style="width:16.6pt;height:13.85pt" o:ole="">
                        <v:imagedata r:id="rId4" o:title=""/>
                      </v:shape>
                      <w:control r:id="rId34" w:name="DefaultOcxName28" w:shapeid="_x0000_i1140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Только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9" type="#_x0000_t75" style="width:16.6pt;height:13.85pt" o:ole="">
                        <v:imagedata r:id="rId4" o:title=""/>
                      </v:shape>
                      <w:control r:id="rId35" w:name="DefaultOcxName29" w:shapeid="_x0000_i1139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Только III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4. Какие из следующих утверждений являются верными: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I. Отличительная черта олигополистической конкуренции состоит в том, что действия каждой отдельной фирмы оказывают существенное влияние на текущую рыночную ситуацию и поведение конкурентов.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II. В моделях ценовой конкуренции Бертрана и Хотеллинга при условии отсутствия картелей фирмы получают нулевую прибыль.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III. Несмотря на то, что поддержание картельного сговора не является устойчивой стратегией в модели дуополии Бертрана с конечным горизонтом планирования, в случае бесконечно повторяющейся игры картельный сговор может быть устойчивым.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9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8" type="#_x0000_t75" style="width:16.6pt;height:13.85pt" o:ole="">
                        <v:imagedata r:id="rId4" o:title=""/>
                      </v:shape>
                      <w:control r:id="rId36" w:name="DefaultOcxName30" w:shapeid="_x0000_i1138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A) I и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7" type="#_x0000_t75" style="width:16.6pt;height:13.85pt" o:ole="">
                        <v:imagedata r:id="rId4" o:title=""/>
                      </v:shape>
                      <w:control r:id="rId37" w:name="DefaultOcxName31" w:shapeid="_x0000_i1137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B) I и III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6" type="#_x0000_t75" style="width:16.6pt;height:13.85pt" o:ole="">
                        <v:imagedata r:id="rId4" o:title=""/>
                      </v:shape>
                      <w:control r:id="rId38" w:name="DefaultOcxName32" w:shapeid="_x0000_i1136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C) Только 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5" type="#_x0000_t75" style="width:16.6pt;height:13.85pt" o:ole="">
                        <v:imagedata r:id="rId4" o:title=""/>
                      </v:shape>
                      <w:control r:id="rId39" w:name="DefaultOcxName33" w:shapeid="_x0000_i1135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D) Только II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4" type="#_x0000_t75" style="width:16.6pt;height:13.85pt" o:ole="">
                        <v:imagedata r:id="rId4" o:title=""/>
                      </v:shape>
                      <w:control r:id="rId40" w:name="DefaultOcxName34" w:shapeid="_x0000_i1134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E) Только III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5. Выберите верное утверждение про ситуацию на Кипре: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6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3" type="#_x0000_t75" style="width:16.6pt;height:13.85pt" o:ole="">
                        <v:imagedata r:id="rId4" o:title=""/>
                      </v:shape>
                      <w:control r:id="rId41" w:name="DefaultOcxName35" w:shapeid="_x0000_i1133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причина банковского кризиса в стране – большое количество «грязных денег» в экономике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2" type="#_x0000_t75" style="width:16.6pt;height:13.85pt" o:ole="">
                        <v:imagedata r:id="rId4" o:title=""/>
                      </v:shape>
                      <w:control r:id="rId42" w:name="DefaultOcxName36" w:shapeid="_x0000_i113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 в кипрской банковской системе стремительно вырос из-за суверенных греческих облигаций, купленных банками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1" type="#_x0000_t75" style="width:16.6pt;height:13.85pt" o:ole="">
                        <v:imagedata r:id="rId4" o:title=""/>
                      </v:shape>
                      <w:control r:id="rId43" w:name="DefaultOcxName37" w:shapeid="_x0000_i1131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Лучшим решением было бы увеличение налога на депозиты до 100 тысяч евро, так как они застрахованы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30" type="#_x0000_t75" style="width:16.6pt;height:13.85pt" o:ole="">
                        <v:imagedata r:id="rId4" o:title=""/>
                      </v:shape>
                      <w:control r:id="rId44" w:name="DefaultOcxName38" w:shapeid="_x0000_i1130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было бы справиться с кризисом, не привлекая деньги из банковской системы, ведь на Кипре очень развито производство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6. Выберите верное утверждение: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6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9" type="#_x0000_t75" style="width:16.6pt;height:13.85pt" o:ole="">
                        <v:imagedata r:id="rId4" o:title=""/>
                      </v:shape>
                      <w:control r:id="rId45" w:name="DefaultOcxName39" w:shapeid="_x0000_i1129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отсутствии системы страхования вкладов в нашей модели банковских паник существует только одно «хорошее» равновесие, когда все вкладчики приходят через 2 года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8" type="#_x0000_t75" style="width:16.6pt;height:13.85pt" o:ole="">
                        <v:imagedata r:id="rId4" o:title=""/>
                      </v:shape>
                      <w:control r:id="rId46" w:name="DefaultOcxName40" w:shapeid="_x0000_i1128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таким образом выстроить банковскую систему, что даже без создания системы страхования вкладов банковские паники не будут происходить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7" type="#_x0000_t75" style="width:16.6pt;height:13.85pt" o:ole="">
                        <v:imagedata r:id="rId4" o:title=""/>
                      </v:shape>
                      <w:control r:id="rId47" w:name="DefaultOcxName41" w:shapeid="_x0000_i1127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Банковские каникулы могут сработать уже после начала банковской паники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6" type="#_x0000_t75" style="width:16.6pt;height:13.85pt" o:ole="">
                        <v:imagedata r:id="rId4" o:title=""/>
                      </v:shape>
                      <w:control r:id="rId48" w:name="DefaultOcxName42" w:shapeid="_x0000_i1126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Любая система страхования вкладов, в том числе неполная всегда может гарантировать отсутствие банковской паники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single" w:sz="4" w:space="0" w:color="D8D8D8"/>
            </w:tcBorders>
            <w:shd w:val="clear" w:color="auto" w:fill="FFFFFF"/>
            <w:tcMar>
              <w:top w:w="33" w:type="dxa"/>
              <w:left w:w="0" w:type="dxa"/>
              <w:bottom w:w="66" w:type="dxa"/>
              <w:right w:w="89" w:type="dxa"/>
            </w:tcMar>
            <w:hideMark/>
          </w:tcPr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</w:pP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t>Задача 7. Рассмотрим модификацию модели с системой страхования вкладов. Так же как и ранее, банк может инвестировать средства в проект, но только суммы, кратные 1 миллиону (единице), причем отдача от проекта остается такой же: чистый доход 50% через 2 года, но 0% через 1 год.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Минимальная сумма инвестирования - 1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Доход через 1 год - 1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Доход через 2 года - 1,5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Банк предлагает вклады с 10% годовых сроком на 2 года.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Пусть у каждого из 2 вкладчиков на депозите лежит 1 миллион рублей.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525252"/>
                <w:sz w:val="13"/>
                <w:szCs w:val="13"/>
                <w:lang w:eastAsia="ru-RU"/>
              </w:rPr>
              <w:br/>
              <w:t>Выберите неверное утверждение: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lang w:eastAsia="ru-RU"/>
              </w:rPr>
              <w:t> </w:t>
            </w:r>
            <w:r w:rsidRPr="0076755D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ru-RU"/>
              </w:rPr>
              <w:t>*</w:t>
            </w:r>
          </w:p>
        </w:tc>
      </w:tr>
      <w:tr w:rsidR="0076755D" w:rsidRPr="0076755D" w:rsidTr="0076755D">
        <w:trPr>
          <w:tblCellSpacing w:w="0" w:type="dxa"/>
        </w:trPr>
        <w:tc>
          <w:tcPr>
            <w:tcW w:w="4500" w:type="pct"/>
            <w:tcBorders>
              <w:top w:val="nil"/>
            </w:tcBorders>
            <w:shd w:val="clear" w:color="auto" w:fill="FFFFFF"/>
            <w:tcMar>
              <w:top w:w="55" w:type="dxa"/>
              <w:left w:w="89" w:type="dxa"/>
              <w:bottom w:w="166" w:type="dxa"/>
              <w:right w:w="89" w:type="dxa"/>
            </w:tcMar>
            <w:hideMark/>
          </w:tcPr>
          <w:tbl>
            <w:tblPr>
              <w:tblW w:w="0" w:type="auto"/>
              <w:tblCellSpacing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6"/>
            </w:tblGrid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240" w:dyaOrig="240">
                      <v:shape id="_x0000_i1125" type="#_x0000_t75" style="width:16.6pt;height:13.85pt" o:ole="">
                        <v:imagedata r:id="rId4" o:title=""/>
                      </v:shape>
                      <w:control r:id="rId49" w:name="DefaultOcxName43" w:shapeid="_x0000_i1125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нашей модели существует «хорошее» и «плохое» равновесия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4" type="#_x0000_t75" style="width:16.6pt;height:13.85pt" o:ole="">
                        <v:imagedata r:id="rId4" o:title=""/>
                      </v:shape>
                      <w:control r:id="rId50" w:name="DefaultOcxName44" w:shapeid="_x0000_i1124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ССВ с покрытием 0.2 «убивает» равновесие с банковской паникой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3" type="#_x0000_t75" style="width:16.6pt;height:13.85pt" o:ole="">
                        <v:imagedata r:id="rId4" o:title=""/>
                      </v:shape>
                      <w:control r:id="rId51" w:name="DefaultOcxName45" w:shapeid="_x0000_i1123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 нашей модели вкладчики вложили бы по 1.5 миллиона рублей, то осталось бы только «хорошее» равновесие</w:t>
                  </w:r>
                </w:p>
              </w:tc>
            </w:tr>
            <w:tr w:rsidR="0076755D" w:rsidRPr="0076755D">
              <w:trPr>
                <w:tblCellSpacing w:w="5" w:type="dxa"/>
              </w:trPr>
              <w:tc>
                <w:tcPr>
                  <w:tcW w:w="0" w:type="auto"/>
                  <w:vAlign w:val="center"/>
                  <w:hideMark/>
                </w:tcPr>
                <w:p w:rsidR="0076755D" w:rsidRPr="0076755D" w:rsidRDefault="0076755D" w:rsidP="00767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40" w:dyaOrig="240">
                      <v:shape id="_x0000_i1122" type="#_x0000_t75" style="width:16.6pt;height:13.85pt" o:ole="">
                        <v:imagedata r:id="rId4" o:title=""/>
                      </v:shape>
                      <w:control r:id="rId52" w:name="DefaultOcxName46" w:shapeid="_x0000_i1122"/>
                    </w:object>
                  </w:r>
                  <w:r w:rsidRPr="007675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утверждений A–C нет неверных</w:t>
                  </w:r>
                </w:p>
              </w:tc>
            </w:tr>
          </w:tbl>
          <w:p w:rsidR="0076755D" w:rsidRPr="0076755D" w:rsidRDefault="0076755D" w:rsidP="0076755D">
            <w:pPr>
              <w:spacing w:before="89" w:after="0" w:line="240" w:lineRule="auto"/>
              <w:rPr>
                <w:rFonts w:ascii="Verdana" w:eastAsia="Times New Roman" w:hAnsi="Verdana" w:cs="Times New Roman"/>
                <w:color w:val="676767"/>
                <w:sz w:val="13"/>
                <w:szCs w:val="13"/>
                <w:lang w:eastAsia="ru-RU"/>
              </w:rPr>
            </w:pPr>
          </w:p>
        </w:tc>
      </w:tr>
    </w:tbl>
    <w:p w:rsidR="002E440A" w:rsidRDefault="002E440A"/>
    <w:sectPr w:rsidR="002E440A" w:rsidSect="002E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755D"/>
    <w:rsid w:val="000261C3"/>
    <w:rsid w:val="00076FEF"/>
    <w:rsid w:val="000825A6"/>
    <w:rsid w:val="00100891"/>
    <w:rsid w:val="00100A18"/>
    <w:rsid w:val="00110440"/>
    <w:rsid w:val="00126153"/>
    <w:rsid w:val="00141ECC"/>
    <w:rsid w:val="00165471"/>
    <w:rsid w:val="00182C24"/>
    <w:rsid w:val="001950F1"/>
    <w:rsid w:val="001B7555"/>
    <w:rsid w:val="001B7823"/>
    <w:rsid w:val="001C4675"/>
    <w:rsid w:val="001E2A61"/>
    <w:rsid w:val="001E4524"/>
    <w:rsid w:val="00235C4F"/>
    <w:rsid w:val="0029697E"/>
    <w:rsid w:val="002A0372"/>
    <w:rsid w:val="002A5F89"/>
    <w:rsid w:val="002B7A4B"/>
    <w:rsid w:val="002C4CBA"/>
    <w:rsid w:val="002E440A"/>
    <w:rsid w:val="002F5DEF"/>
    <w:rsid w:val="002F66AF"/>
    <w:rsid w:val="00312732"/>
    <w:rsid w:val="003261A1"/>
    <w:rsid w:val="00327F0C"/>
    <w:rsid w:val="003443C8"/>
    <w:rsid w:val="00345471"/>
    <w:rsid w:val="00363795"/>
    <w:rsid w:val="00394DC2"/>
    <w:rsid w:val="003A34D1"/>
    <w:rsid w:val="003A697F"/>
    <w:rsid w:val="003C244E"/>
    <w:rsid w:val="003E78D1"/>
    <w:rsid w:val="003F4EB1"/>
    <w:rsid w:val="00401C6D"/>
    <w:rsid w:val="00402BC7"/>
    <w:rsid w:val="004119FF"/>
    <w:rsid w:val="004203BB"/>
    <w:rsid w:val="0042512A"/>
    <w:rsid w:val="0045145F"/>
    <w:rsid w:val="00451ADF"/>
    <w:rsid w:val="00474AFC"/>
    <w:rsid w:val="004778E2"/>
    <w:rsid w:val="004D74B7"/>
    <w:rsid w:val="004F3F07"/>
    <w:rsid w:val="00502BD0"/>
    <w:rsid w:val="0050377C"/>
    <w:rsid w:val="00513A4D"/>
    <w:rsid w:val="00514AED"/>
    <w:rsid w:val="00531A84"/>
    <w:rsid w:val="00557DFF"/>
    <w:rsid w:val="00581EF8"/>
    <w:rsid w:val="005B40CF"/>
    <w:rsid w:val="005E6809"/>
    <w:rsid w:val="005E7D96"/>
    <w:rsid w:val="005F06CD"/>
    <w:rsid w:val="006039AF"/>
    <w:rsid w:val="0061779F"/>
    <w:rsid w:val="006349C5"/>
    <w:rsid w:val="00663082"/>
    <w:rsid w:val="00680CBF"/>
    <w:rsid w:val="00685A94"/>
    <w:rsid w:val="006E7C89"/>
    <w:rsid w:val="007112EA"/>
    <w:rsid w:val="00721B38"/>
    <w:rsid w:val="007348CD"/>
    <w:rsid w:val="007501CB"/>
    <w:rsid w:val="0075134B"/>
    <w:rsid w:val="0076755D"/>
    <w:rsid w:val="00777D1C"/>
    <w:rsid w:val="007974D3"/>
    <w:rsid w:val="007D11AD"/>
    <w:rsid w:val="007D350A"/>
    <w:rsid w:val="00800B24"/>
    <w:rsid w:val="0082388F"/>
    <w:rsid w:val="00830B99"/>
    <w:rsid w:val="00851999"/>
    <w:rsid w:val="0085777A"/>
    <w:rsid w:val="00862161"/>
    <w:rsid w:val="00866CAB"/>
    <w:rsid w:val="00875C8D"/>
    <w:rsid w:val="008A20E4"/>
    <w:rsid w:val="008F1671"/>
    <w:rsid w:val="00900696"/>
    <w:rsid w:val="00925A9E"/>
    <w:rsid w:val="00952E35"/>
    <w:rsid w:val="00990BD3"/>
    <w:rsid w:val="0099671C"/>
    <w:rsid w:val="009A6A4A"/>
    <w:rsid w:val="009B13D5"/>
    <w:rsid w:val="009D2CE0"/>
    <w:rsid w:val="00A037F8"/>
    <w:rsid w:val="00AB1E29"/>
    <w:rsid w:val="00AB5F33"/>
    <w:rsid w:val="00AD0804"/>
    <w:rsid w:val="00AF0CA0"/>
    <w:rsid w:val="00B05B6D"/>
    <w:rsid w:val="00B07DEC"/>
    <w:rsid w:val="00B24CA5"/>
    <w:rsid w:val="00B34794"/>
    <w:rsid w:val="00B5170F"/>
    <w:rsid w:val="00B57C38"/>
    <w:rsid w:val="00B90FA9"/>
    <w:rsid w:val="00B95060"/>
    <w:rsid w:val="00BA5DDA"/>
    <w:rsid w:val="00BB6938"/>
    <w:rsid w:val="00C86AD7"/>
    <w:rsid w:val="00C9217E"/>
    <w:rsid w:val="00C94297"/>
    <w:rsid w:val="00CA5F84"/>
    <w:rsid w:val="00CB2B90"/>
    <w:rsid w:val="00CB3703"/>
    <w:rsid w:val="00CB37B9"/>
    <w:rsid w:val="00CB711D"/>
    <w:rsid w:val="00CD0C71"/>
    <w:rsid w:val="00CD7A3C"/>
    <w:rsid w:val="00D05932"/>
    <w:rsid w:val="00D157E3"/>
    <w:rsid w:val="00D27659"/>
    <w:rsid w:val="00D44274"/>
    <w:rsid w:val="00D663F3"/>
    <w:rsid w:val="00D7346B"/>
    <w:rsid w:val="00D73714"/>
    <w:rsid w:val="00DB682A"/>
    <w:rsid w:val="00DB6A05"/>
    <w:rsid w:val="00DD1B4D"/>
    <w:rsid w:val="00E365DC"/>
    <w:rsid w:val="00E535F6"/>
    <w:rsid w:val="00E57AA1"/>
    <w:rsid w:val="00E66C8E"/>
    <w:rsid w:val="00E66D32"/>
    <w:rsid w:val="00E82416"/>
    <w:rsid w:val="00EB276D"/>
    <w:rsid w:val="00EB2A75"/>
    <w:rsid w:val="00EB3FDD"/>
    <w:rsid w:val="00EE295C"/>
    <w:rsid w:val="00EF555F"/>
    <w:rsid w:val="00F141B2"/>
    <w:rsid w:val="00F201DD"/>
    <w:rsid w:val="00F3448D"/>
    <w:rsid w:val="00F43C01"/>
    <w:rsid w:val="00F6555B"/>
    <w:rsid w:val="00F706B0"/>
    <w:rsid w:val="00F80CE1"/>
    <w:rsid w:val="00F91792"/>
    <w:rsid w:val="00F949F8"/>
    <w:rsid w:val="00F94C82"/>
    <w:rsid w:val="00FA764E"/>
    <w:rsid w:val="00FB30AC"/>
    <w:rsid w:val="00FC1FE3"/>
    <w:rsid w:val="00FE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755D"/>
  </w:style>
  <w:style w:type="character" w:customStyle="1" w:styleId="ms-formvalidation">
    <w:name w:val="ms-formvalidation"/>
    <w:basedOn w:val="a0"/>
    <w:rsid w:val="0076755D"/>
  </w:style>
  <w:style w:type="character" w:customStyle="1" w:styleId="ms-radiotext">
    <w:name w:val="ms-radiotext"/>
    <w:basedOn w:val="a0"/>
    <w:rsid w:val="0076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5614</Characters>
  <Application>Microsoft Office Word</Application>
  <DocSecurity>0</DocSecurity>
  <Lines>46</Lines>
  <Paragraphs>13</Paragraphs>
  <ScaleCrop>false</ScaleCrop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2013-06-09T18:55:00Z</dcterms:created>
  <dcterms:modified xsi:type="dcterms:W3CDTF">2013-06-09T18:56:00Z</dcterms:modified>
</cp:coreProperties>
</file>